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92" w:rsidRDefault="00F61A92" w:rsidP="00F61A92">
      <w:pPr>
        <w:pStyle w:val="Title"/>
        <w:pBdr>
          <w:top w:val="single" w:sz="4" w:space="1" w:color="auto"/>
          <w:left w:val="single" w:sz="4" w:space="4" w:color="auto"/>
          <w:bottom w:val="single" w:sz="4" w:space="1" w:color="auto"/>
          <w:right w:val="single" w:sz="4" w:space="4" w:color="auto"/>
        </w:pBdr>
        <w:ind w:left="0"/>
        <w:rPr>
          <w:rFonts w:ascii="Times New Roman" w:hAnsi="Times New Roman"/>
          <w:b/>
          <w:bCs w:val="0"/>
        </w:rPr>
      </w:pPr>
      <w:smartTag w:uri="urn:schemas-microsoft-com:office:smarttags" w:element="place">
        <w:smartTag w:uri="urn:schemas-microsoft-com:office:smarttags" w:element="PlaceName">
          <w:r>
            <w:rPr>
              <w:rFonts w:ascii="Times New Roman" w:hAnsi="Times New Roman"/>
              <w:b/>
              <w:bCs w:val="0"/>
            </w:rPr>
            <w:t>IACP</w:t>
          </w:r>
        </w:smartTag>
        <w:r>
          <w:rPr>
            <w:rFonts w:ascii="Times New Roman" w:hAnsi="Times New Roman"/>
            <w:b/>
            <w:bCs w:val="0"/>
          </w:rPr>
          <w:t xml:space="preserve"> </w:t>
        </w:r>
        <w:smartTag w:uri="urn:schemas-microsoft-com:office:smarttags" w:element="PlaceName">
          <w:r>
            <w:rPr>
              <w:rFonts w:ascii="Times New Roman" w:hAnsi="Times New Roman"/>
              <w:b/>
              <w:bCs w:val="0"/>
            </w:rPr>
            <w:t>National</w:t>
          </w:r>
        </w:smartTag>
        <w:r>
          <w:rPr>
            <w:rFonts w:ascii="Times New Roman" w:hAnsi="Times New Roman"/>
            <w:b/>
            <w:bCs w:val="0"/>
          </w:rPr>
          <w:t xml:space="preserve"> </w:t>
        </w:r>
        <w:smartTag w:uri="urn:schemas-microsoft-com:office:smarttags" w:element="PlaceName">
          <w:r>
            <w:rPr>
              <w:rFonts w:ascii="Times New Roman" w:hAnsi="Times New Roman"/>
              <w:b/>
              <w:bCs w:val="0"/>
            </w:rPr>
            <w:t>Law</w:t>
          </w:r>
        </w:smartTag>
        <w:r>
          <w:rPr>
            <w:rFonts w:ascii="Times New Roman" w:hAnsi="Times New Roman"/>
            <w:b/>
            <w:bCs w:val="0"/>
          </w:rPr>
          <w:t xml:space="preserve"> </w:t>
        </w:r>
        <w:smartTag w:uri="urn:schemas-microsoft-com:office:smarttags" w:element="PlaceName">
          <w:r>
            <w:rPr>
              <w:rFonts w:ascii="Times New Roman" w:hAnsi="Times New Roman"/>
              <w:b/>
              <w:bCs w:val="0"/>
            </w:rPr>
            <w:t>Enforcement</w:t>
          </w:r>
        </w:smartTag>
        <w:r>
          <w:rPr>
            <w:rFonts w:ascii="Times New Roman" w:hAnsi="Times New Roman"/>
            <w:b/>
            <w:bCs w:val="0"/>
          </w:rPr>
          <w:t xml:space="preserve"> </w:t>
        </w:r>
        <w:smartTag w:uri="urn:schemas-microsoft-com:office:smarttags" w:element="PlaceName">
          <w:r>
            <w:rPr>
              <w:rFonts w:ascii="Times New Roman" w:hAnsi="Times New Roman"/>
              <w:b/>
              <w:bCs w:val="0"/>
            </w:rPr>
            <w:t>Policy</w:t>
          </w:r>
        </w:smartTag>
        <w:r>
          <w:rPr>
            <w:rFonts w:ascii="Times New Roman" w:hAnsi="Times New Roman"/>
            <w:b/>
            <w:bCs w:val="0"/>
          </w:rPr>
          <w:t xml:space="preserve"> </w:t>
        </w:r>
        <w:smartTag w:uri="urn:schemas-microsoft-com:office:smarttags" w:element="PlaceType">
          <w:r>
            <w:rPr>
              <w:rFonts w:ascii="Times New Roman" w:hAnsi="Times New Roman"/>
              <w:b/>
              <w:bCs w:val="0"/>
            </w:rPr>
            <w:t>Center</w:t>
          </w:r>
        </w:smartTag>
      </w:smartTag>
    </w:p>
    <w:p w:rsidR="00F61A92" w:rsidRDefault="00FD3441" w:rsidP="00F61A92">
      <w:pPr>
        <w:pStyle w:val="Subtitle"/>
        <w:pBdr>
          <w:top w:val="single" w:sz="4" w:space="1" w:color="auto"/>
          <w:left w:val="single" w:sz="4" w:space="4" w:color="auto"/>
          <w:bottom w:val="single" w:sz="4" w:space="1" w:color="auto"/>
          <w:right w:val="single" w:sz="4" w:space="4" w:color="auto"/>
        </w:pBdr>
        <w:ind w:left="0"/>
      </w:pPr>
      <w:r>
        <w:t>GRIEVANCE PROCEDURES</w:t>
      </w:r>
    </w:p>
    <w:p w:rsidR="00F61A92" w:rsidRPr="000B5B8C" w:rsidRDefault="00F61A92" w:rsidP="00F61A92">
      <w:pPr>
        <w:pStyle w:val="Heading1"/>
        <w:ind w:left="0"/>
        <w:rPr>
          <w:szCs w:val="26"/>
        </w:rPr>
      </w:pPr>
      <w:r w:rsidRPr="000B5B8C">
        <w:rPr>
          <w:szCs w:val="26"/>
        </w:rPr>
        <w:t>Model Policy</w:t>
      </w:r>
    </w:p>
    <w:p w:rsidR="00F61A92" w:rsidRDefault="00AC606A" w:rsidP="00AC606A">
      <w:pPr>
        <w:pBdr>
          <w:top w:val="single" w:sz="4" w:space="1" w:color="auto"/>
          <w:left w:val="single" w:sz="4" w:space="4" w:color="auto"/>
          <w:bottom w:val="single" w:sz="4" w:space="1" w:color="auto"/>
          <w:right w:val="single" w:sz="4" w:space="4" w:color="auto"/>
        </w:pBdr>
        <w:ind w:firstLine="360"/>
        <w:jc w:val="center"/>
        <w:rPr>
          <w:b/>
          <w:sz w:val="28"/>
        </w:rPr>
      </w:pPr>
      <w:r>
        <w:rPr>
          <w:rFonts w:cs="Times New Roman"/>
          <w:b/>
          <w:sz w:val="26"/>
          <w:szCs w:val="26"/>
        </w:rPr>
        <w:t>July</w:t>
      </w:r>
      <w:r w:rsidR="004570D2">
        <w:rPr>
          <w:rFonts w:cs="Times New Roman"/>
          <w:b/>
          <w:sz w:val="26"/>
          <w:szCs w:val="26"/>
        </w:rPr>
        <w:t xml:space="preserve"> 2011</w:t>
      </w:r>
    </w:p>
    <w:p w:rsidR="00F61A92" w:rsidRPr="004570D2" w:rsidRDefault="004570D2" w:rsidP="00F61A92">
      <w:pPr>
        <w:pStyle w:val="ListParagraph"/>
        <w:numPr>
          <w:ilvl w:val="0"/>
          <w:numId w:val="3"/>
        </w:numPr>
        <w:rPr>
          <w:b/>
        </w:rPr>
      </w:pPr>
      <w:r w:rsidRPr="004570D2">
        <w:rPr>
          <w:b/>
        </w:rPr>
        <w:t>PURPOSE</w:t>
      </w:r>
    </w:p>
    <w:p w:rsidR="004570D2" w:rsidRDefault="001D765E" w:rsidP="00BC76D5">
      <w:pPr>
        <w:pStyle w:val="ListParagraph"/>
        <w:spacing w:after="0" w:line="240" w:lineRule="auto"/>
        <w:ind w:left="540" w:firstLine="360"/>
      </w:pPr>
      <w:r w:rsidRPr="00CC54B1">
        <w:t xml:space="preserve">This department recognizes that every employee has the right to be treated fairly in matters arising from employment in this agency; that each employee should have the opportunity to be heard fully any time his </w:t>
      </w:r>
      <w:r>
        <w:t xml:space="preserve">or her </w:t>
      </w:r>
      <w:r w:rsidRPr="00CC54B1">
        <w:t xml:space="preserve">right to fair treatment has been violated; and that a carefully designed grievance process can help to reduce personnel dissatisfaction, </w:t>
      </w:r>
      <w:r>
        <w:t>improve</w:t>
      </w:r>
      <w:r w:rsidRPr="00CC54B1">
        <w:t xml:space="preserve"> morale, identify problems in the organization</w:t>
      </w:r>
      <w:r>
        <w:t>,</w:t>
      </w:r>
      <w:r w:rsidRPr="00CC54B1">
        <w:t xml:space="preserve"> and increase the positive perception employees have of their employment with this </w:t>
      </w:r>
      <w:r>
        <w:t>department</w:t>
      </w:r>
      <w:r w:rsidRPr="00CC54B1">
        <w:t>. The purpose of this policy</w:t>
      </w:r>
      <w:r>
        <w:t xml:space="preserve"> is</w:t>
      </w:r>
      <w:r w:rsidRPr="00CC54B1">
        <w:t xml:space="preserve"> to provide a procedure whereby employees may resolve </w:t>
      </w:r>
      <w:r>
        <w:t xml:space="preserve">certain </w:t>
      </w:r>
      <w:r w:rsidRPr="00CC54B1">
        <w:t>disputes or complaints concerning their employment.</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POLICY</w:t>
      </w:r>
    </w:p>
    <w:p w:rsidR="001D765E" w:rsidRDefault="001D765E" w:rsidP="00BC76D5">
      <w:pPr>
        <w:pStyle w:val="ListParagraph"/>
        <w:spacing w:after="0" w:line="240" w:lineRule="auto"/>
        <w:ind w:left="540" w:firstLine="360"/>
      </w:pPr>
      <w:r>
        <w:t>Whenever possible, disputes should be resolved informally at the lowest level in the employee’s chain of command. All employees, supervisors, and administrators are encouraged to engage in free and open communication to resolve differences without resorting to a formal process. When attempts at informal dispute resolution are unsuccessful, employees may initiate the grievance procedure described herein.</w:t>
      </w:r>
    </w:p>
    <w:p w:rsidR="004570D2" w:rsidRDefault="001D765E" w:rsidP="00BC76D5">
      <w:pPr>
        <w:pStyle w:val="ListParagraph"/>
        <w:spacing w:after="0" w:line="240" w:lineRule="auto"/>
        <w:ind w:left="540" w:firstLine="360"/>
      </w:pPr>
      <w:r>
        <w:t>This grievance procedure shall not be used in addition to any other grievance procedures that may be in effect through the governing jurisdiction or an eligible employee’s collective bargaining agreement. Under no circumstances shall more than one procedure be used to redress the same grievance. Use of this or other grievance procedures does not preclude employees from seeking legal remedies as appropriate.</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DEFINITION</w:t>
      </w:r>
      <w:r w:rsidR="00B20EA7">
        <w:rPr>
          <w:b/>
        </w:rPr>
        <w:t>S</w:t>
      </w:r>
    </w:p>
    <w:p w:rsidR="001D765E" w:rsidRDefault="001D765E" w:rsidP="00BC76D5">
      <w:pPr>
        <w:pStyle w:val="ListParagraph"/>
        <w:spacing w:after="0" w:line="240" w:lineRule="auto"/>
        <w:ind w:left="540" w:firstLine="540"/>
      </w:pPr>
      <w:r w:rsidRPr="001D765E">
        <w:rPr>
          <w:i/>
        </w:rPr>
        <w:t>Eligible Employee</w:t>
      </w:r>
      <w:r w:rsidRPr="00CC54B1">
        <w:t xml:space="preserve">: </w:t>
      </w:r>
      <w:r>
        <w:t>Those persons who can initiate an action under this policy. These are permanent full-time and permanent part-time employees who have worked at least 20</w:t>
      </w:r>
      <w:r w:rsidRPr="00CC54B1">
        <w:t xml:space="preserve"> hours per week on a continuous basis for at least six months.</w:t>
      </w:r>
    </w:p>
    <w:p w:rsidR="001D765E" w:rsidRDefault="001D765E" w:rsidP="00BC76D5">
      <w:pPr>
        <w:pStyle w:val="ListParagraph"/>
        <w:spacing w:after="0" w:line="240" w:lineRule="auto"/>
        <w:ind w:left="540" w:firstLine="540"/>
        <w:rPr>
          <w:i/>
        </w:rPr>
      </w:pPr>
      <w:r>
        <w:rPr>
          <w:i/>
        </w:rPr>
        <w:t xml:space="preserve">Actionable </w:t>
      </w:r>
      <w:r w:rsidRPr="006C0223">
        <w:rPr>
          <w:i/>
        </w:rPr>
        <w:t>Grievance:</w:t>
      </w:r>
      <w:r>
        <w:rPr>
          <w:i/>
        </w:rPr>
        <w:t xml:space="preserve"> </w:t>
      </w:r>
      <w:r>
        <w:t>An allegation by an employee relating to employment matters that include, but may not necessarily be limited to, interpretation or application of (1) local, state, or federal employment law; (2) terms and conditions of the employee’s collective bargaining agreement; (3) departmental policy, procedures, rules, customs, or practices; or (4) employment rules or practices of this jurisdiction. Grievances may also relate to matters pertaining to improvement or modification in working conditions or to practices or procedures that have a bearing on employee effectiveness, efficiency, safety, or health.</w:t>
      </w:r>
    </w:p>
    <w:p w:rsidR="00297E15" w:rsidRPr="001D765E" w:rsidRDefault="001D765E" w:rsidP="00BC76D5">
      <w:pPr>
        <w:pStyle w:val="ListParagraph"/>
        <w:tabs>
          <w:tab w:val="left" w:pos="180"/>
        </w:tabs>
        <w:spacing w:after="0" w:line="240" w:lineRule="auto"/>
        <w:ind w:left="540" w:firstLine="540"/>
        <w:rPr>
          <w:szCs w:val="24"/>
        </w:rPr>
      </w:pPr>
      <w:r w:rsidRPr="001D765E">
        <w:rPr>
          <w:i/>
        </w:rPr>
        <w:t xml:space="preserve">Excluded Grievance: </w:t>
      </w:r>
      <w:r>
        <w:t xml:space="preserve">Complaints or disputes arising from the following: (1) complaints related to alleged acts of sexual, racial, or other harassment and discrimination prohibited by law; (2) complaints regarding allegations of misconduct or improper job performance against any department employee that, if true, would form the basis for employee disciplinary action; or (3) retaliation against employees who file or assist in filing </w:t>
      </w:r>
      <w:r>
        <w:lastRenderedPageBreak/>
        <w:t>complaints in either of the above circumstances. Remedial actions for resolution of these matters are addressed separately in this department’s policy manual.</w:t>
      </w:r>
      <w:r w:rsidR="00BC76D5">
        <w:rPr>
          <w:rStyle w:val="FootnoteReference"/>
        </w:rPr>
        <w:footnoteReference w:id="1"/>
      </w:r>
    </w:p>
    <w:p w:rsidR="00781367" w:rsidRDefault="00781367" w:rsidP="00781367">
      <w:pPr>
        <w:pStyle w:val="ListParagraph"/>
        <w:spacing w:after="0" w:line="240" w:lineRule="auto"/>
        <w:ind w:left="360" w:firstLine="360"/>
      </w:pPr>
    </w:p>
    <w:p w:rsidR="004570D2" w:rsidRDefault="004570D2" w:rsidP="004570D2">
      <w:pPr>
        <w:pStyle w:val="ListParagraph"/>
        <w:numPr>
          <w:ilvl w:val="0"/>
          <w:numId w:val="3"/>
        </w:numPr>
        <w:spacing w:after="0" w:line="240" w:lineRule="auto"/>
        <w:rPr>
          <w:b/>
        </w:rPr>
      </w:pPr>
      <w:r w:rsidRPr="004570D2">
        <w:rPr>
          <w:b/>
        </w:rPr>
        <w:t>PROCEDURES</w:t>
      </w:r>
    </w:p>
    <w:p w:rsidR="001D765E" w:rsidRDefault="001D765E" w:rsidP="001D765E">
      <w:pPr>
        <w:pStyle w:val="ListParagraph"/>
        <w:numPr>
          <w:ilvl w:val="1"/>
          <w:numId w:val="3"/>
        </w:numPr>
        <w:spacing w:after="0" w:line="240" w:lineRule="auto"/>
      </w:pPr>
      <w:r>
        <w:t>Informal Phase</w:t>
      </w:r>
    </w:p>
    <w:p w:rsidR="001D765E" w:rsidRDefault="001D765E" w:rsidP="001D765E">
      <w:pPr>
        <w:pStyle w:val="ListParagraph"/>
        <w:numPr>
          <w:ilvl w:val="2"/>
          <w:numId w:val="3"/>
        </w:numPr>
        <w:spacing w:after="0" w:line="240" w:lineRule="auto"/>
      </w:pPr>
      <w:r>
        <w:t>Employees must make every reasonable effort to resolve grievances in an informal manner before initiating a formal grievance under this policy.</w:t>
      </w:r>
    </w:p>
    <w:p w:rsidR="001D765E" w:rsidRDefault="001D765E" w:rsidP="001D765E">
      <w:pPr>
        <w:pStyle w:val="ListParagraph"/>
        <w:numPr>
          <w:ilvl w:val="2"/>
          <w:numId w:val="3"/>
        </w:numPr>
        <w:spacing w:after="0" w:line="240" w:lineRule="auto"/>
      </w:pPr>
      <w:r>
        <w:t>Employees shall bring their complaints to the attention of their immediate supervisors within seven days of the specific event or action in question.</w:t>
      </w:r>
    </w:p>
    <w:p w:rsidR="001D765E" w:rsidRDefault="001D765E" w:rsidP="001D765E">
      <w:pPr>
        <w:pStyle w:val="ListParagraph"/>
        <w:numPr>
          <w:ilvl w:val="2"/>
          <w:numId w:val="3"/>
        </w:numPr>
        <w:spacing w:after="0" w:line="240" w:lineRule="auto"/>
      </w:pPr>
      <w:r>
        <w:t xml:space="preserve">The supervisor shall determine the basis for and legitimacy of the grievance and take such remedial action as deemed appropriate. </w:t>
      </w:r>
    </w:p>
    <w:p w:rsidR="001D765E" w:rsidRDefault="001D765E" w:rsidP="001D765E">
      <w:pPr>
        <w:pStyle w:val="ListParagraph"/>
        <w:numPr>
          <w:ilvl w:val="2"/>
          <w:numId w:val="3"/>
        </w:numPr>
        <w:spacing w:after="0" w:line="240" w:lineRule="auto"/>
      </w:pPr>
      <w:r>
        <w:t>The employee may accept the immediate supervisor’s findings and resolution, which will terminate the grievance at this informal level.</w:t>
      </w:r>
    </w:p>
    <w:p w:rsidR="001D765E" w:rsidRDefault="001D765E" w:rsidP="001D765E">
      <w:pPr>
        <w:pStyle w:val="ListParagraph"/>
        <w:numPr>
          <w:ilvl w:val="1"/>
          <w:numId w:val="3"/>
        </w:numPr>
        <w:spacing w:after="0" w:line="240" w:lineRule="auto"/>
      </w:pPr>
      <w:r>
        <w:t>Formal Grievance</w:t>
      </w:r>
    </w:p>
    <w:p w:rsidR="001D765E" w:rsidRDefault="001D765E" w:rsidP="001D765E">
      <w:pPr>
        <w:pStyle w:val="ListParagraph"/>
        <w:numPr>
          <w:ilvl w:val="2"/>
          <w:numId w:val="3"/>
        </w:numPr>
        <w:spacing w:after="0" w:line="240" w:lineRule="auto"/>
      </w:pPr>
      <w:r>
        <w:t>An employee who believes that he or she cannot adequately resolve a dispute or complaint informally, or who disagrees with the resolution provided by his or her immediate supervisor may file a formal grievance.</w:t>
      </w:r>
    </w:p>
    <w:p w:rsidR="001D765E" w:rsidRDefault="001D765E" w:rsidP="001D765E">
      <w:pPr>
        <w:pStyle w:val="ListParagraph"/>
        <w:numPr>
          <w:ilvl w:val="2"/>
          <w:numId w:val="3"/>
        </w:numPr>
        <w:spacing w:after="0" w:line="240" w:lineRule="auto"/>
      </w:pPr>
      <w:r>
        <w:t>The formal grievance shall</w:t>
      </w:r>
    </w:p>
    <w:p w:rsidR="001D765E" w:rsidRDefault="001D765E" w:rsidP="001D765E">
      <w:pPr>
        <w:pStyle w:val="ListParagraph"/>
        <w:numPr>
          <w:ilvl w:val="3"/>
          <w:numId w:val="3"/>
        </w:numPr>
        <w:spacing w:after="0" w:line="240" w:lineRule="auto"/>
      </w:pPr>
      <w:r>
        <w:t>be a written notice, filed with the employee’s intermediate supervisor or with the grievance hearing officer designated by the department;</w:t>
      </w:r>
    </w:p>
    <w:p w:rsidR="001D765E" w:rsidRDefault="001D765E" w:rsidP="001D765E">
      <w:pPr>
        <w:pStyle w:val="ListParagraph"/>
        <w:numPr>
          <w:ilvl w:val="3"/>
          <w:numId w:val="3"/>
        </w:numPr>
        <w:spacing w:after="0" w:line="240" w:lineRule="auto"/>
      </w:pPr>
      <w:r w:rsidRPr="00CC54B1">
        <w:t>clearly define the situation in question</w:t>
      </w:r>
      <w:r>
        <w:t>,</w:t>
      </w:r>
      <w:r w:rsidRPr="00CC54B1">
        <w:t xml:space="preserve"> specif</w:t>
      </w:r>
      <w:r>
        <w:t>ying the</w:t>
      </w:r>
      <w:r w:rsidRPr="00CC54B1">
        <w:t xml:space="preserve"> wrongful act or situation, the harm done</w:t>
      </w:r>
      <w:r>
        <w:t>,</w:t>
      </w:r>
      <w:r w:rsidRPr="00CC54B1">
        <w:t xml:space="preserve"> and the facts upon which </w:t>
      </w:r>
      <w:r>
        <w:t>the grievance</w:t>
      </w:r>
      <w:r w:rsidRPr="00CC54B1">
        <w:t xml:space="preserve"> is based;</w:t>
      </w:r>
    </w:p>
    <w:p w:rsidR="001D765E" w:rsidRDefault="001D765E" w:rsidP="001D765E">
      <w:pPr>
        <w:pStyle w:val="ListParagraph"/>
        <w:numPr>
          <w:ilvl w:val="3"/>
          <w:numId w:val="3"/>
        </w:numPr>
        <w:spacing w:after="0" w:line="240" w:lineRule="auto"/>
      </w:pPr>
      <w:r>
        <w:t>describe informal efforts to resolve the grievance; and</w:t>
      </w:r>
    </w:p>
    <w:p w:rsidR="001D765E" w:rsidRDefault="001D765E" w:rsidP="001D765E">
      <w:pPr>
        <w:pStyle w:val="ListParagraph"/>
        <w:numPr>
          <w:ilvl w:val="3"/>
          <w:numId w:val="3"/>
        </w:numPr>
        <w:spacing w:after="0" w:line="240" w:lineRule="auto"/>
      </w:pPr>
      <w:r>
        <w:t>provide the employee’s response to the immediate supervisor’s decision concerning the grievance.</w:t>
      </w:r>
    </w:p>
    <w:p w:rsidR="001D765E" w:rsidRDefault="001D765E" w:rsidP="001D765E">
      <w:pPr>
        <w:pStyle w:val="ListParagraph"/>
        <w:numPr>
          <w:ilvl w:val="2"/>
          <w:numId w:val="3"/>
        </w:numPr>
        <w:spacing w:after="0" w:line="240" w:lineRule="auto"/>
      </w:pPr>
      <w:r>
        <w:t>The grievance must</w:t>
      </w:r>
    </w:p>
    <w:p w:rsidR="001D765E" w:rsidRDefault="001D765E" w:rsidP="001D765E">
      <w:pPr>
        <w:pStyle w:val="ListParagraph"/>
        <w:numPr>
          <w:ilvl w:val="3"/>
          <w:numId w:val="3"/>
        </w:numPr>
        <w:spacing w:after="0" w:line="240" w:lineRule="auto"/>
      </w:pPr>
      <w:r w:rsidRPr="004060F9">
        <w:t>arise out of an act or</w:t>
      </w:r>
      <w:r>
        <w:t xml:space="preserve"> failure to act that directly relates to the working conditions of the employee;</w:t>
      </w:r>
    </w:p>
    <w:p w:rsidR="001D765E" w:rsidRDefault="001D765E" w:rsidP="001D765E">
      <w:pPr>
        <w:pStyle w:val="ListParagraph"/>
        <w:numPr>
          <w:ilvl w:val="3"/>
          <w:numId w:val="3"/>
        </w:numPr>
        <w:spacing w:after="0" w:line="240" w:lineRule="auto"/>
      </w:pPr>
      <w:r>
        <w:t>define a matter within the control of the department; and</w:t>
      </w:r>
    </w:p>
    <w:p w:rsidR="001D765E" w:rsidRDefault="001D765E" w:rsidP="001D765E">
      <w:pPr>
        <w:pStyle w:val="ListParagraph"/>
        <w:numPr>
          <w:ilvl w:val="3"/>
          <w:numId w:val="3"/>
        </w:numPr>
        <w:spacing w:after="0" w:line="240" w:lineRule="auto"/>
      </w:pPr>
      <w:r>
        <w:t>identify the relief sought that is within the power of the department to grant.</w:t>
      </w:r>
    </w:p>
    <w:p w:rsidR="001D765E" w:rsidRDefault="001D765E" w:rsidP="001D765E">
      <w:pPr>
        <w:pStyle w:val="ListParagraph"/>
        <w:numPr>
          <w:ilvl w:val="2"/>
          <w:numId w:val="3"/>
        </w:numPr>
        <w:spacing w:after="0" w:line="240" w:lineRule="auto"/>
      </w:pPr>
      <w:r w:rsidRPr="00AD5AB0">
        <w:t>The intermediate level supervisor or grievance hearing officer shall complete his or her assessment of the grievance within seven calendar days and provide a written response to the aggrieved officer, identifying any actions that have been or will be taken to resolve the matter. A copy of this report and all supporting documentation shall be forwarded to the department’s office of professional standards or other designated authority.</w:t>
      </w:r>
    </w:p>
    <w:p w:rsidR="001D765E" w:rsidRDefault="001D765E" w:rsidP="001D765E">
      <w:pPr>
        <w:pStyle w:val="ListParagraph"/>
        <w:numPr>
          <w:ilvl w:val="1"/>
          <w:numId w:val="3"/>
        </w:numPr>
        <w:spacing w:after="0" w:line="240" w:lineRule="auto"/>
      </w:pPr>
      <w:r>
        <w:t>Chief Executive Officer (CEO) Review</w:t>
      </w:r>
    </w:p>
    <w:p w:rsidR="001D765E" w:rsidRDefault="001D765E" w:rsidP="001D765E">
      <w:pPr>
        <w:pStyle w:val="ListParagraph"/>
        <w:numPr>
          <w:ilvl w:val="2"/>
          <w:numId w:val="3"/>
        </w:numPr>
        <w:spacing w:after="0" w:line="240" w:lineRule="auto"/>
      </w:pPr>
      <w:r w:rsidRPr="00CC54B1">
        <w:t xml:space="preserve">If the </w:t>
      </w:r>
      <w:r>
        <w:t xml:space="preserve">grievant feels the </w:t>
      </w:r>
      <w:r w:rsidRPr="00CC54B1">
        <w:t xml:space="preserve">matter is not satisfactorily resolved </w:t>
      </w:r>
      <w:r>
        <w:t>upon completion of the formal grievance process, he or she may submit a written request for review to the department’s CEO or designee within seven calendar days of receipt of the outcome of the grievance process to that point. The request shall include a copy of all previous decisions resulting from the grievance process, as well as a statement of the employee’s response to these decisions.</w:t>
      </w:r>
    </w:p>
    <w:p w:rsidR="001D765E" w:rsidRDefault="001D765E" w:rsidP="001D765E">
      <w:pPr>
        <w:pStyle w:val="ListParagraph"/>
        <w:numPr>
          <w:ilvl w:val="2"/>
          <w:numId w:val="3"/>
        </w:numPr>
        <w:spacing w:after="0" w:line="240" w:lineRule="auto"/>
      </w:pPr>
      <w:r w:rsidRPr="00CC54B1">
        <w:lastRenderedPageBreak/>
        <w:t xml:space="preserve">The </w:t>
      </w:r>
      <w:r>
        <w:t>CEO</w:t>
      </w:r>
      <w:r w:rsidRPr="00CC54B1">
        <w:t xml:space="preserve"> shall meet with the affected employee and a representative of </w:t>
      </w:r>
      <w:r>
        <w:t xml:space="preserve">the employee’s </w:t>
      </w:r>
      <w:r w:rsidRPr="00CC54B1">
        <w:t>choosing if so desired</w:t>
      </w:r>
      <w:r>
        <w:t xml:space="preserve"> to discuss the grievance.</w:t>
      </w:r>
    </w:p>
    <w:p w:rsidR="001D765E" w:rsidRDefault="001D765E" w:rsidP="001D765E">
      <w:pPr>
        <w:pStyle w:val="ListParagraph"/>
        <w:numPr>
          <w:ilvl w:val="2"/>
          <w:numId w:val="3"/>
        </w:numPr>
        <w:spacing w:after="0" w:line="240" w:lineRule="auto"/>
      </w:pPr>
      <w:r>
        <w:t>The CEO or designee shall provide the grievant with a written response within seven days after the meeting. The response shall state the decision of the CEO and the reasons upon which the decision was based.</w:t>
      </w:r>
    </w:p>
    <w:p w:rsidR="001D765E" w:rsidRDefault="001D765E" w:rsidP="001D765E">
      <w:pPr>
        <w:pStyle w:val="ListParagraph"/>
        <w:numPr>
          <w:ilvl w:val="1"/>
          <w:numId w:val="3"/>
        </w:numPr>
        <w:spacing w:after="0" w:line="240" w:lineRule="auto"/>
      </w:pPr>
      <w:r>
        <w:t>Procedural Requirements</w:t>
      </w:r>
    </w:p>
    <w:p w:rsidR="001D765E" w:rsidRDefault="001D765E" w:rsidP="001D765E">
      <w:pPr>
        <w:pStyle w:val="ListParagraph"/>
        <w:numPr>
          <w:ilvl w:val="2"/>
          <w:numId w:val="3"/>
        </w:numPr>
        <w:spacing w:after="0" w:line="240" w:lineRule="auto"/>
      </w:pPr>
      <w:r w:rsidRPr="00CC54B1">
        <w:t xml:space="preserve">Written responses to grievances shall include </w:t>
      </w:r>
    </w:p>
    <w:p w:rsidR="001D765E" w:rsidRDefault="001D765E" w:rsidP="001D765E">
      <w:pPr>
        <w:pStyle w:val="ListParagraph"/>
        <w:numPr>
          <w:ilvl w:val="3"/>
          <w:numId w:val="3"/>
        </w:numPr>
        <w:spacing w:after="0" w:line="240" w:lineRule="auto"/>
      </w:pPr>
      <w:r>
        <w:t>n</w:t>
      </w:r>
      <w:r w:rsidRPr="00CC54B1">
        <w:t>otation of the time, date</w:t>
      </w:r>
      <w:r>
        <w:t>,</w:t>
      </w:r>
      <w:r w:rsidRPr="00CC54B1">
        <w:t xml:space="preserve"> and person who received the grievance</w:t>
      </w:r>
      <w:r>
        <w:t>;</w:t>
      </w:r>
    </w:p>
    <w:p w:rsidR="001D765E" w:rsidRDefault="001D765E" w:rsidP="001D765E">
      <w:pPr>
        <w:pStyle w:val="ListParagraph"/>
        <w:numPr>
          <w:ilvl w:val="3"/>
          <w:numId w:val="3"/>
        </w:numPr>
        <w:spacing w:after="0" w:line="240" w:lineRule="auto"/>
      </w:pPr>
      <w:r>
        <w:t>a</w:t>
      </w:r>
      <w:r w:rsidRPr="00CC54B1">
        <w:t>nalysis of the facts or allegation</w:t>
      </w:r>
      <w:r w:rsidR="00ED4F6F">
        <w:t>s</w:t>
      </w:r>
      <w:r w:rsidRPr="00CC54B1">
        <w:t xml:space="preserve"> in the grievance</w:t>
      </w:r>
      <w:r>
        <w:t>;</w:t>
      </w:r>
    </w:p>
    <w:p w:rsidR="001D765E" w:rsidRDefault="001D765E" w:rsidP="001D765E">
      <w:pPr>
        <w:pStyle w:val="ListParagraph"/>
        <w:numPr>
          <w:ilvl w:val="3"/>
          <w:numId w:val="3"/>
        </w:numPr>
        <w:spacing w:after="0" w:line="240" w:lineRule="auto"/>
      </w:pPr>
      <w:r>
        <w:t>a</w:t>
      </w:r>
      <w:r w:rsidRPr="00CC54B1">
        <w:t>ffirmation or denial of the allegations</w:t>
      </w:r>
      <w:r>
        <w:t>; and</w:t>
      </w:r>
    </w:p>
    <w:p w:rsidR="001D765E" w:rsidRDefault="001D765E" w:rsidP="001D765E">
      <w:pPr>
        <w:pStyle w:val="ListParagraph"/>
        <w:numPr>
          <w:ilvl w:val="3"/>
          <w:numId w:val="3"/>
        </w:numPr>
        <w:spacing w:after="0" w:line="240" w:lineRule="auto"/>
      </w:pPr>
      <w:r>
        <w:t>i</w:t>
      </w:r>
      <w:r w:rsidRPr="00CC54B1">
        <w:t>dentification of the remedies or adjustments, if any, to be made.</w:t>
      </w:r>
    </w:p>
    <w:p w:rsidR="001D765E" w:rsidRDefault="001D765E" w:rsidP="001D765E">
      <w:pPr>
        <w:pStyle w:val="ListParagraph"/>
        <w:numPr>
          <w:ilvl w:val="2"/>
          <w:numId w:val="3"/>
        </w:numPr>
        <w:spacing w:after="0" w:line="240" w:lineRule="auto"/>
      </w:pPr>
      <w:r w:rsidRPr="00CC54B1">
        <w:t>If a grievance is not processed by the aggrieved employee within the specified time limits provided in this policy, the grievance shall be considered void. If the department fails to process a grievance within the time limits specified, the employee may initiate action by proceeding to the next step. However, employees are encouraged to make a reasonable attempt to determine the reason for the delay</w:t>
      </w:r>
      <w:r>
        <w:t xml:space="preserve"> and determine a mutually agreeable reasonable time continuance</w:t>
      </w:r>
      <w:r w:rsidRPr="00CC54B1">
        <w:t>.</w:t>
      </w:r>
    </w:p>
    <w:p w:rsidR="001D765E" w:rsidRDefault="001D765E" w:rsidP="001D765E">
      <w:pPr>
        <w:pStyle w:val="ListParagraph"/>
        <w:numPr>
          <w:ilvl w:val="2"/>
          <w:numId w:val="3"/>
        </w:numPr>
        <w:spacing w:after="0" w:line="240" w:lineRule="auto"/>
      </w:pPr>
      <w:r w:rsidRPr="00CC54B1">
        <w:t xml:space="preserve">All times specified in this procedure are subject to scheduled vacations, sick leave or other authorized leave necessary for the proper conduct of departmental business. Additionally, involved parties may request one extension not to exceed seven days by providing written notice to the other parties prior to the expiration of the time limit established </w:t>
      </w:r>
      <w:r>
        <w:t>in the policy.</w:t>
      </w:r>
    </w:p>
    <w:p w:rsidR="001D765E" w:rsidRDefault="001D765E" w:rsidP="001D765E">
      <w:pPr>
        <w:pStyle w:val="ListParagraph"/>
        <w:numPr>
          <w:ilvl w:val="2"/>
          <w:numId w:val="3"/>
        </w:numPr>
        <w:spacing w:after="0" w:line="240" w:lineRule="auto"/>
      </w:pPr>
      <w:r w:rsidRPr="00CC54B1">
        <w:t>At any time during the grievance process, the employee may withdraw the grievance by making written notification of the withdrawal to all parties involved.</w:t>
      </w:r>
    </w:p>
    <w:p w:rsidR="001D765E" w:rsidRDefault="001D765E" w:rsidP="001D765E">
      <w:pPr>
        <w:pStyle w:val="ListParagraph"/>
        <w:numPr>
          <w:ilvl w:val="2"/>
          <w:numId w:val="3"/>
        </w:numPr>
        <w:spacing w:after="0" w:line="240" w:lineRule="auto"/>
      </w:pPr>
      <w:r w:rsidRPr="00CC54B1">
        <w:t xml:space="preserve">This department’s </w:t>
      </w:r>
      <w:r>
        <w:t>CEO</w:t>
      </w:r>
      <w:r w:rsidRPr="00CC54B1">
        <w:t xml:space="preserve"> shall designate an officer </w:t>
      </w:r>
      <w:r>
        <w:t>to</w:t>
      </w:r>
      <w:r w:rsidRPr="00CC54B1">
        <w:t xml:space="preserve"> coordinate grievance procedures as established within these guidelines. This officer shall also be responsible for</w:t>
      </w:r>
    </w:p>
    <w:p w:rsidR="001D765E" w:rsidRDefault="001D765E" w:rsidP="001D765E">
      <w:pPr>
        <w:pStyle w:val="ListParagraph"/>
        <w:numPr>
          <w:ilvl w:val="3"/>
          <w:numId w:val="3"/>
        </w:numPr>
        <w:spacing w:after="0" w:line="240" w:lineRule="auto"/>
      </w:pPr>
      <w:r w:rsidRPr="00CC54B1">
        <w:t>maintaining and controlling all records relating to grievances in a manner that will ensure their confidentiality; and</w:t>
      </w:r>
    </w:p>
    <w:p w:rsidR="001D765E" w:rsidRDefault="001D765E" w:rsidP="001D765E">
      <w:pPr>
        <w:pStyle w:val="ListParagraph"/>
        <w:numPr>
          <w:ilvl w:val="3"/>
          <w:numId w:val="3"/>
        </w:numPr>
        <w:spacing w:after="0" w:line="240" w:lineRule="auto"/>
      </w:pPr>
      <w:r w:rsidRPr="00CC54B1">
        <w:t xml:space="preserve">preparing </w:t>
      </w:r>
      <w:r>
        <w:t xml:space="preserve">a </w:t>
      </w:r>
      <w:r w:rsidRPr="00CC54B1">
        <w:t xml:space="preserve">written </w:t>
      </w:r>
      <w:r>
        <w:t xml:space="preserve">annual </w:t>
      </w:r>
      <w:r w:rsidRPr="00CC54B1">
        <w:t>report</w:t>
      </w:r>
      <w:r>
        <w:t xml:space="preserve"> for the chief executive officer</w:t>
      </w:r>
      <w:r w:rsidRPr="00CC54B1">
        <w:t xml:space="preserve"> </w:t>
      </w:r>
      <w:r>
        <w:t xml:space="preserve">that provides an </w:t>
      </w:r>
      <w:r w:rsidRPr="00CC54B1">
        <w:t>analy</w:t>
      </w:r>
      <w:r>
        <w:t>sis of</w:t>
      </w:r>
      <w:r w:rsidRPr="00CC54B1">
        <w:t xml:space="preserve"> </w:t>
      </w:r>
      <w:r>
        <w:t xml:space="preserve">official </w:t>
      </w:r>
      <w:r w:rsidRPr="00CC54B1">
        <w:t>grievances filed.</w:t>
      </w:r>
    </w:p>
    <w:p w:rsidR="001D765E" w:rsidRDefault="001D765E" w:rsidP="001D765E">
      <w:pPr>
        <w:pStyle w:val="ListParagraph"/>
        <w:numPr>
          <w:ilvl w:val="1"/>
          <w:numId w:val="3"/>
        </w:numPr>
        <w:spacing w:after="0" w:line="240" w:lineRule="auto"/>
      </w:pPr>
      <w:r>
        <w:t>Appeal</w:t>
      </w:r>
    </w:p>
    <w:p w:rsidR="00B57215" w:rsidRDefault="001D765E" w:rsidP="00BC76D5">
      <w:pPr>
        <w:pStyle w:val="ListParagraph"/>
        <w:spacing w:after="0" w:line="240" w:lineRule="auto"/>
        <w:ind w:left="900" w:firstLine="360"/>
      </w:pPr>
      <w:r w:rsidRPr="00CC54B1">
        <w:t xml:space="preserve">Once the department’s grievance procedure has been exhausted, an employee </w:t>
      </w:r>
      <w:r>
        <w:t>has</w:t>
      </w:r>
      <w:r w:rsidRPr="00CC54B1">
        <w:t xml:space="preserve"> the right to </w:t>
      </w:r>
      <w:r>
        <w:t>present</w:t>
      </w:r>
      <w:r w:rsidRPr="00CC54B1">
        <w:t xml:space="preserve"> the grievance before an appeal panel</w:t>
      </w:r>
      <w:r>
        <w:t xml:space="preserve"> and may be assisted by a departmental member of his or her choice</w:t>
      </w:r>
      <w:r w:rsidRPr="00CC54B1">
        <w:t xml:space="preserve">. The </w:t>
      </w:r>
      <w:r>
        <w:t xml:space="preserve">appeal </w:t>
      </w:r>
      <w:r w:rsidRPr="00CC54B1">
        <w:t xml:space="preserve">panel </w:t>
      </w:r>
      <w:r>
        <w:t>shall consist of</w:t>
      </w:r>
      <w:r w:rsidRPr="00CC54B1">
        <w:t xml:space="preserve"> appointed representatives from this department’s </w:t>
      </w:r>
      <w:r>
        <w:t>governing</w:t>
      </w:r>
      <w:r w:rsidRPr="00CC54B1">
        <w:t xml:space="preserve"> jurisdiction, a departmental representative who is responsible for explaining the department’s position</w:t>
      </w:r>
      <w:r>
        <w:t>,</w:t>
      </w:r>
      <w:r w:rsidRPr="00CC54B1">
        <w:t xml:space="preserve"> and any other employee </w:t>
      </w:r>
      <w:r>
        <w:t xml:space="preserve">of the governing jurisdiction </w:t>
      </w:r>
      <w:r w:rsidRPr="00CC54B1">
        <w:t>who the aggrieved employee may select as his representative. The hearing is informal and no record will be kept of the proceedings, although there is a right to cross</w:t>
      </w:r>
      <w:r>
        <w:t>-</w:t>
      </w:r>
      <w:r w:rsidRPr="00CC54B1">
        <w:t>examination. Findings of the appeal panel shall be rendered within 15 days of the hearing and are binding upon all parties involved.</w:t>
      </w:r>
    </w:p>
    <w:p w:rsidR="00B57215" w:rsidRPr="00B57215" w:rsidRDefault="00B57215" w:rsidP="00B57215">
      <w:pPr>
        <w:pStyle w:val="ListParagraph"/>
        <w:spacing w:after="0" w:line="240" w:lineRule="auto"/>
        <w:ind w:firstLine="360"/>
      </w:pPr>
    </w:p>
    <w:p w:rsidR="00781367" w:rsidRDefault="00781367" w:rsidP="00781367">
      <w:pPr>
        <w:spacing w:after="0" w:line="240" w:lineRule="auto"/>
        <w:rPr>
          <w:b/>
        </w:rPr>
      </w:pPr>
    </w:p>
    <w:p w:rsidR="00373EE0" w:rsidRDefault="00373EE0" w:rsidP="00373EE0">
      <w:pPr>
        <w:spacing w:after="0" w:line="240" w:lineRule="auto"/>
        <w:rPr>
          <w:rFonts w:eastAsia="Calibri" w:cs="Times New Roman"/>
          <w:sz w:val="16"/>
          <w:szCs w:val="16"/>
        </w:rPr>
      </w:pPr>
      <w:r>
        <w:rPr>
          <w:rFonts w:eastAsia="Calibri" w:cs="Times New Roman"/>
          <w:sz w:val="16"/>
          <w:szCs w:val="16"/>
        </w:rPr>
        <w:t xml:space="preserve">© Copyright </w:t>
      </w:r>
      <w:r>
        <w:rPr>
          <w:rFonts w:eastAsia="Calibri" w:cs="Times New Roman"/>
          <w:sz w:val="16"/>
          <w:szCs w:val="16"/>
        </w:rPr>
        <w:t>2011</w:t>
      </w:r>
      <w:bookmarkStart w:id="0" w:name="_GoBack"/>
      <w:bookmarkEnd w:id="0"/>
      <w:r>
        <w:rPr>
          <w:rFonts w:eastAsia="Calibri" w:cs="Times New Roman"/>
          <w:sz w:val="16"/>
          <w:szCs w:val="16"/>
        </w:rPr>
        <w:t xml:space="preserve">. Departments are encouraged to use this policy to establish one customized to their agency and jurisdiction.  However, copyright is held by the International Association of Chiefs of Police, Alexandria, Virginia U.S.A. All rights reserved under both international and Pan-American copyright conventions. Further dissemination of this material is prohibited without prior written consent of the copyright holder.  </w:t>
      </w:r>
    </w:p>
    <w:p w:rsidR="00373EE0" w:rsidRDefault="00373EE0" w:rsidP="00373EE0">
      <w:pPr>
        <w:spacing w:after="0" w:line="240" w:lineRule="auto"/>
        <w:rPr>
          <w:rFonts w:eastAsia="Calibri" w:cs="Times New Roman"/>
          <w:sz w:val="16"/>
          <w:szCs w:val="16"/>
        </w:rPr>
      </w:pPr>
    </w:p>
    <w:p w:rsidR="00373EE0" w:rsidRDefault="00373EE0" w:rsidP="00373EE0">
      <w:pPr>
        <w:spacing w:after="0" w:line="240" w:lineRule="auto"/>
        <w:rPr>
          <w:rFonts w:eastAsia="Calibri" w:cs="Times New Roman"/>
          <w:iCs/>
          <w:sz w:val="16"/>
          <w:szCs w:val="16"/>
        </w:rPr>
      </w:pPr>
      <w:r>
        <w:rPr>
          <w:rFonts w:eastAsia="Calibri" w:cs="Times New Roman"/>
          <w:iCs/>
          <w:sz w:val="16"/>
          <w:szCs w:val="16"/>
        </w:rPr>
        <w:t>Every effort has been made by the IACP National Law Enforcement Policy Center staff and advisory board to ensure that this model policy incorporates the most current information and contemporary professional judgment on this issue. However, law enforcement administrators should be cautioned that no “model” policy can meet all the needs of any given law enforcement agency. Each law enforcement agency operates in a unique environment of federal court rulings, state laws, local ordinances, regulations, judicial and administrative decisions and collective bargaining agreements that must be considered.  In addition, the formulation of specific agency policies must take into account local political and community perspectives and customs, prerogatives and demands; often divergent law enforcement strategies and philosophies; and the impact of varied agency resource capabilities among other factors.</w:t>
      </w:r>
    </w:p>
    <w:p w:rsidR="00373EE0" w:rsidRDefault="00373EE0" w:rsidP="00373EE0">
      <w:pPr>
        <w:spacing w:after="0" w:line="240" w:lineRule="auto"/>
        <w:rPr>
          <w:rFonts w:eastAsia="Calibri" w:cs="Times New Roman"/>
          <w:iCs/>
          <w:sz w:val="16"/>
          <w:szCs w:val="16"/>
        </w:rPr>
      </w:pPr>
    </w:p>
    <w:p w:rsidR="00781367" w:rsidRDefault="00373EE0" w:rsidP="00373EE0">
      <w:pPr>
        <w:spacing w:after="0" w:line="240" w:lineRule="auto"/>
        <w:rPr>
          <w:rFonts w:cs="Times New Roman"/>
          <w:sz w:val="16"/>
          <w:szCs w:val="16"/>
        </w:rPr>
      </w:pPr>
      <w:r>
        <w:rPr>
          <w:rFonts w:eastAsia="Times New Roman" w:cs="Times New Roman"/>
          <w:color w:val="000000"/>
          <w:sz w:val="16"/>
          <w:szCs w:val="16"/>
        </w:rPr>
        <w:t>This project was supported by a grant</w:t>
      </w:r>
      <w:r>
        <w:rPr>
          <w:rFonts w:cs="Times New Roman"/>
          <w:sz w:val="16"/>
          <w:szCs w:val="16"/>
        </w:rPr>
        <w:t xml:space="preserve"> </w:t>
      </w:r>
      <w:r>
        <w:rPr>
          <w:rFonts w:eastAsia="Times New Roman" w:cs="Times New Roman"/>
          <w:color w:val="000000"/>
          <w:sz w:val="16"/>
          <w:szCs w:val="16"/>
        </w:rPr>
        <w:t>awarded by the Bureau of Justice Assistance. The Bureau of Justice Assistance is a component of the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Points of view or opinions in this document are those of the author and do not necessarily represent the official position or policies of the U.S. Department of Justice or the IACP.</w:t>
      </w:r>
    </w:p>
    <w:p w:rsidR="00B57215" w:rsidRDefault="00B57215" w:rsidP="00781367">
      <w:pPr>
        <w:spacing w:after="0" w:line="240" w:lineRule="auto"/>
        <w:rPr>
          <w:rFonts w:cs="Times New Roman"/>
          <w:sz w:val="16"/>
          <w:szCs w:val="16"/>
        </w:rPr>
      </w:pPr>
    </w:p>
    <w:p w:rsidR="00B57215" w:rsidRDefault="00B57215">
      <w:pPr>
        <w:rPr>
          <w:rFonts w:cs="Times New Roman"/>
          <w:sz w:val="16"/>
          <w:szCs w:val="16"/>
        </w:rPr>
      </w:pPr>
    </w:p>
    <w:sectPr w:rsidR="00B57215" w:rsidSect="00BC76D5">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15" w:rsidRDefault="00297E15" w:rsidP="002354AC">
      <w:pPr>
        <w:spacing w:after="0" w:line="240" w:lineRule="auto"/>
      </w:pPr>
      <w:r>
        <w:separator/>
      </w:r>
    </w:p>
  </w:endnote>
  <w:endnote w:type="continuationSeparator" w:id="0">
    <w:p w:rsidR="00297E15" w:rsidRDefault="00297E15" w:rsidP="002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0518"/>
      <w:docPartObj>
        <w:docPartGallery w:val="Page Numbers (Bottom of Page)"/>
        <w:docPartUnique/>
      </w:docPartObj>
    </w:sdtPr>
    <w:sdtEndPr/>
    <w:sdtContent>
      <w:p w:rsidR="001D765E" w:rsidRDefault="00BC76D5">
        <w:pPr>
          <w:pStyle w:val="Footer"/>
          <w:jc w:val="center"/>
        </w:pPr>
        <w:r>
          <w:fldChar w:fldCharType="begin"/>
        </w:r>
        <w:r>
          <w:instrText xml:space="preserve"> PAGE   \* MERGEFORMAT </w:instrText>
        </w:r>
        <w:r>
          <w:fldChar w:fldCharType="separate"/>
        </w:r>
        <w:r w:rsidR="00373EE0">
          <w:rPr>
            <w:noProof/>
          </w:rPr>
          <w:t>1</w:t>
        </w:r>
        <w:r>
          <w:rPr>
            <w:noProof/>
          </w:rPr>
          <w:fldChar w:fldCharType="end"/>
        </w:r>
      </w:p>
    </w:sdtContent>
  </w:sdt>
  <w:p w:rsidR="00297E15" w:rsidRDefault="0029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15" w:rsidRDefault="00297E15" w:rsidP="002354AC">
      <w:pPr>
        <w:spacing w:after="0" w:line="240" w:lineRule="auto"/>
      </w:pPr>
      <w:r>
        <w:separator/>
      </w:r>
    </w:p>
  </w:footnote>
  <w:footnote w:type="continuationSeparator" w:id="0">
    <w:p w:rsidR="00297E15" w:rsidRDefault="00297E15" w:rsidP="002354AC">
      <w:pPr>
        <w:spacing w:after="0" w:line="240" w:lineRule="auto"/>
      </w:pPr>
      <w:r>
        <w:continuationSeparator/>
      </w:r>
    </w:p>
  </w:footnote>
  <w:footnote w:id="1">
    <w:p w:rsidR="00BC76D5" w:rsidRDefault="00BC76D5">
      <w:pPr>
        <w:pStyle w:val="FootnoteText"/>
      </w:pPr>
      <w:r>
        <w:rPr>
          <w:rStyle w:val="FootnoteReference"/>
        </w:rPr>
        <w:footnoteRef/>
      </w:r>
      <w:r>
        <w:t xml:space="preserve"> </w:t>
      </w:r>
      <w:r w:rsidRPr="001D765E">
        <w:t xml:space="preserve">For examples, see the IACP </w:t>
      </w:r>
      <w:r w:rsidRPr="001D765E">
        <w:rPr>
          <w:i/>
        </w:rPr>
        <w:t>Model Policy on Harassment and Discrimination</w:t>
      </w:r>
      <w:r w:rsidRPr="001D765E">
        <w:t xml:space="preserve"> and </w:t>
      </w:r>
      <w:r w:rsidRPr="001D765E">
        <w:rPr>
          <w:i/>
        </w:rPr>
        <w:t>Model Policy on Retaliation</w:t>
      </w:r>
      <w:r w:rsidRPr="001D765E">
        <w:t xml:space="preserve"> available at http://www.theiacp.org/policycenter.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8C5B2A"/>
    <w:lvl w:ilvl="0">
      <w:numFmt w:val="decimal"/>
      <w:lvlText w:val="*"/>
      <w:lvlJc w:val="left"/>
    </w:lvl>
  </w:abstractNum>
  <w:abstractNum w:abstractNumId="1">
    <w:nsid w:val="06593B0C"/>
    <w:multiLevelType w:val="hybridMultilevel"/>
    <w:tmpl w:val="A8CE98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721587"/>
    <w:multiLevelType w:val="hybridMultilevel"/>
    <w:tmpl w:val="08284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F7CF3"/>
    <w:multiLevelType w:val="multilevel"/>
    <w:tmpl w:val="53D6A6F4"/>
    <w:numStyleLink w:val="MPPaper"/>
  </w:abstractNum>
  <w:abstractNum w:abstractNumId="4">
    <w:nsid w:val="162C4971"/>
    <w:multiLevelType w:val="multilevel"/>
    <w:tmpl w:val="F698BCEE"/>
    <w:lvl w:ilvl="0">
      <w:start w:val="1"/>
      <w:numFmt w:val="upperLetter"/>
      <w:lvlText w:val="%1."/>
      <w:lvlJc w:val="left"/>
      <w:pPr>
        <w:tabs>
          <w:tab w:val="num" w:pos="720"/>
        </w:tabs>
        <w:ind w:left="720" w:hanging="360"/>
      </w:pPr>
      <w:rPr>
        <w:rFonts w:ascii="Times New Roman" w:hAnsi="Times New Roman" w:hint="default"/>
        <w:b w:val="0"/>
        <w:i w:val="0"/>
        <w:sz w:val="28"/>
        <w:szCs w:val="24"/>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b w:val="0"/>
      </w:rPr>
    </w:lvl>
    <w:lvl w:ilvl="3">
      <w:start w:val="1"/>
      <w:numFmt w:val="lowerLetter"/>
      <w:lvlText w:val="%4."/>
      <w:lvlJc w:val="left"/>
      <w:pPr>
        <w:tabs>
          <w:tab w:val="num" w:pos="1440"/>
        </w:tabs>
        <w:ind w:left="2160" w:hanging="360"/>
      </w:pPr>
      <w:rPr>
        <w:rFonts w:ascii="Times New Roman" w:hAnsi="Times New Roman" w:hint="default"/>
        <w:b w:val="0"/>
        <w:sz w:val="24"/>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5">
    <w:nsid w:val="20715183"/>
    <w:multiLevelType w:val="multilevel"/>
    <w:tmpl w:val="DFE4DD10"/>
    <w:styleLink w:val="FinalWordPolicy"/>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18A31B5"/>
    <w:multiLevelType w:val="multilevel"/>
    <w:tmpl w:val="DFE4DD10"/>
    <w:numStyleLink w:val="FinalWordPolicy"/>
  </w:abstractNum>
  <w:abstractNum w:abstractNumId="7">
    <w:nsid w:val="32B03E9E"/>
    <w:multiLevelType w:val="hybridMultilevel"/>
    <w:tmpl w:val="FD16ED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C4673C"/>
    <w:multiLevelType w:val="multilevel"/>
    <w:tmpl w:val="3C16848A"/>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DB1CC4"/>
    <w:multiLevelType w:val="hybridMultilevel"/>
    <w:tmpl w:val="BB9E2EB8"/>
    <w:lvl w:ilvl="0" w:tplc="8FA8982A">
      <w:start w:val="4"/>
      <w:numFmt w:val="upperRoman"/>
      <w:lvlText w:val="%1."/>
      <w:lvlJc w:val="left"/>
      <w:pPr>
        <w:tabs>
          <w:tab w:val="num" w:pos="0"/>
        </w:tabs>
        <w:ind w:left="0" w:hanging="720"/>
      </w:pPr>
      <w:rPr>
        <w:rFonts w:hint="default"/>
        <w:b/>
      </w:rPr>
    </w:lvl>
    <w:lvl w:ilvl="1" w:tplc="97BC85C2">
      <w:start w:val="4"/>
      <w:numFmt w:val="decimal"/>
      <w:lvlText w:val="%2."/>
      <w:lvlJc w:val="left"/>
      <w:pPr>
        <w:tabs>
          <w:tab w:val="num" w:pos="360"/>
        </w:tabs>
        <w:ind w:left="360" w:hanging="360"/>
      </w:pPr>
      <w:rPr>
        <w:rFonts w:hint="default"/>
        <w:b w:val="0"/>
        <w:i w:val="0"/>
        <w:sz w:val="24"/>
      </w:rPr>
    </w:lvl>
    <w:lvl w:ilvl="2" w:tplc="5A640BBE">
      <w:start w:val="1"/>
      <w:numFmt w:val="lowerLetter"/>
      <w:lvlText w:val="%3."/>
      <w:lvlJc w:val="left"/>
      <w:pPr>
        <w:tabs>
          <w:tab w:val="num" w:pos="1260"/>
        </w:tabs>
        <w:ind w:left="1260" w:hanging="360"/>
      </w:pPr>
      <w:rPr>
        <w:rFonts w:hint="default"/>
      </w:rPr>
    </w:lvl>
    <w:lvl w:ilvl="3" w:tplc="D6121A08">
      <w:start w:val="2"/>
      <w:numFmt w:val="upperLetter"/>
      <w:pStyle w:val="Heading3"/>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4EE2711A"/>
    <w:multiLevelType w:val="hybridMultilevel"/>
    <w:tmpl w:val="37A64CD2"/>
    <w:lvl w:ilvl="0" w:tplc="702E1B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57965F47"/>
    <w:multiLevelType w:val="hybridMultilevel"/>
    <w:tmpl w:val="02445F44"/>
    <w:lvl w:ilvl="0" w:tplc="2ABE22FE">
      <w:start w:val="1"/>
      <w:numFmt w:val="upperLetter"/>
      <w:lvlText w:val="%1."/>
      <w:lvlJc w:val="left"/>
      <w:pPr>
        <w:tabs>
          <w:tab w:val="num" w:pos="1080"/>
        </w:tabs>
        <w:ind w:left="1080" w:hanging="720"/>
      </w:pPr>
      <w:rPr>
        <w:rFonts w:cs="Times New Roman" w:hint="default"/>
      </w:rPr>
    </w:lvl>
    <w:lvl w:ilvl="1" w:tplc="62F8609E">
      <w:start w:val="1"/>
      <w:numFmt w:val="decimal"/>
      <w:lvlText w:val="%2."/>
      <w:lvlJc w:val="left"/>
      <w:pPr>
        <w:tabs>
          <w:tab w:val="num" w:pos="1440"/>
        </w:tabs>
        <w:ind w:left="1440" w:hanging="360"/>
      </w:pPr>
      <w:rPr>
        <w:rFonts w:cs="Times New Roman" w:hint="default"/>
      </w:rPr>
    </w:lvl>
    <w:lvl w:ilvl="2" w:tplc="1A48A72C">
      <w:start w:val="1"/>
      <w:numFmt w:val="lowerLetter"/>
      <w:lvlText w:val="%3."/>
      <w:lvlJc w:val="right"/>
      <w:pPr>
        <w:tabs>
          <w:tab w:val="num" w:pos="2160"/>
        </w:tabs>
        <w:ind w:left="2160" w:hanging="180"/>
      </w:pPr>
      <w:rPr>
        <w:rFonts w:ascii="Times New Roman" w:eastAsia="Times New Roman" w:hAnsi="Times New Roman" w:cs="Times New Roman"/>
      </w:rPr>
    </w:lvl>
    <w:lvl w:ilvl="3" w:tplc="DB34D994">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79C4220"/>
    <w:multiLevelType w:val="multilevel"/>
    <w:tmpl w:val="53D6A6F4"/>
    <w:styleLink w:val="MPPaper"/>
    <w:lvl w:ilvl="0">
      <w:start w:val="1"/>
      <w:numFmt w:val="upperRoman"/>
      <w:lvlText w:val="%1."/>
      <w:lvlJc w:val="left"/>
      <w:pPr>
        <w:tabs>
          <w:tab w:val="num" w:pos="360"/>
        </w:tabs>
        <w:ind w:left="360" w:hanging="360"/>
      </w:pPr>
      <w:rPr>
        <w:rFonts w:ascii="Times New Roman" w:hAnsi="Times New Roman" w:hint="default"/>
        <w:b/>
        <w:sz w:val="24"/>
        <w:szCs w:val="28"/>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2160"/>
        </w:tabs>
        <w:ind w:left="2160" w:hanging="360"/>
      </w:pPr>
      <w:rPr>
        <w:rFonts w:ascii="Times New Roman" w:eastAsia="Times New Roman" w:hAnsi="Times New Roman" w:cs="Times New Roman" w:hint="default"/>
        <w:b w:val="0"/>
        <w:i w:val="0"/>
        <w:sz w:val="24"/>
        <w:szCs w:val="24"/>
      </w:rPr>
    </w:lvl>
    <w:lvl w:ilvl="4">
      <w:start w:val="1"/>
      <w:numFmt w:val="decimal"/>
      <w:lvlText w:val="(%5)"/>
      <w:lvlJc w:val="left"/>
      <w:pPr>
        <w:tabs>
          <w:tab w:val="num" w:pos="2520"/>
        </w:tabs>
        <w:ind w:left="2520" w:firstLine="0"/>
      </w:pPr>
      <w:rPr>
        <w:rFonts w:hint="default"/>
        <w:b w:val="0"/>
        <w:sz w:val="24"/>
        <w:szCs w:val="24"/>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3">
    <w:nsid w:val="6CCF0BE4"/>
    <w:multiLevelType w:val="hybridMultilevel"/>
    <w:tmpl w:val="AE92CD5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73F7271F"/>
    <w:multiLevelType w:val="multilevel"/>
    <w:tmpl w:val="D2A0CCE2"/>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5">
    <w:nsid w:val="772B0CAD"/>
    <w:multiLevelType w:val="multilevel"/>
    <w:tmpl w:val="53D6A6F4"/>
    <w:numStyleLink w:val="MPPaper"/>
  </w:abstractNum>
  <w:abstractNum w:abstractNumId="16">
    <w:nsid w:val="794C2B6A"/>
    <w:multiLevelType w:val="hybridMultilevel"/>
    <w:tmpl w:val="5546A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9E48DD"/>
    <w:multiLevelType w:val="hybridMultilevel"/>
    <w:tmpl w:val="2438CD2C"/>
    <w:lvl w:ilvl="0" w:tplc="733AFA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FBC2ED3"/>
    <w:multiLevelType w:val="hybridMultilevel"/>
    <w:tmpl w:val="B79C6D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6"/>
  </w:num>
  <w:num w:numId="3">
    <w:abstractNumId w:val="8"/>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9"/>
  </w:num>
  <w:num w:numId="6">
    <w:abstractNumId w:val="9"/>
    <w:lvlOverride w:ilvl="0">
      <w:startOverride w:val="4"/>
    </w:lvlOverride>
    <w:lvlOverride w:ilvl="1">
      <w:startOverride w:val="1"/>
    </w:lvlOverride>
  </w:num>
  <w:num w:numId="7">
    <w:abstractNumId w:val="9"/>
    <w:lvlOverride w:ilvl="0">
      <w:startOverride w:val="4"/>
    </w:lvlOverride>
    <w:lvlOverride w:ilvl="1">
      <w:startOverride w:val="1"/>
    </w:lvlOverride>
  </w:num>
  <w:num w:numId="8">
    <w:abstractNumId w:val="18"/>
  </w:num>
  <w:num w:numId="9">
    <w:abstractNumId w:val="11"/>
  </w:num>
  <w:num w:numId="10">
    <w:abstractNumId w:val="10"/>
  </w:num>
  <w:num w:numId="11">
    <w:abstractNumId w:val="12"/>
  </w:num>
  <w:num w:numId="12">
    <w:abstractNumId w:val="3"/>
  </w:num>
  <w:num w:numId="13">
    <w:abstractNumId w:val="13"/>
  </w:num>
  <w:num w:numId="14">
    <w:abstractNumId w:val="2"/>
  </w:num>
  <w:num w:numId="15">
    <w:abstractNumId w:val="16"/>
  </w:num>
  <w:num w:numId="16">
    <w:abstractNumId w:val="17"/>
  </w:num>
  <w:num w:numId="17">
    <w:abstractNumId w:val="1"/>
  </w:num>
  <w:num w:numId="18">
    <w:abstractNumId w:val="4"/>
  </w:num>
  <w:num w:numId="19">
    <w:abstractNumId w:val="15"/>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4570D2"/>
    <w:rsid w:val="001D765E"/>
    <w:rsid w:val="00217F2C"/>
    <w:rsid w:val="002354AC"/>
    <w:rsid w:val="00297E15"/>
    <w:rsid w:val="002C1117"/>
    <w:rsid w:val="00355645"/>
    <w:rsid w:val="00373EE0"/>
    <w:rsid w:val="004349A1"/>
    <w:rsid w:val="004570D2"/>
    <w:rsid w:val="00480BB7"/>
    <w:rsid w:val="00485555"/>
    <w:rsid w:val="005C437D"/>
    <w:rsid w:val="00671594"/>
    <w:rsid w:val="006C6A15"/>
    <w:rsid w:val="00781367"/>
    <w:rsid w:val="007A560D"/>
    <w:rsid w:val="007D6EF5"/>
    <w:rsid w:val="007F61C1"/>
    <w:rsid w:val="00AC606A"/>
    <w:rsid w:val="00B20EA7"/>
    <w:rsid w:val="00B57215"/>
    <w:rsid w:val="00BC76D5"/>
    <w:rsid w:val="00DD34B8"/>
    <w:rsid w:val="00DF4E96"/>
    <w:rsid w:val="00E90F61"/>
    <w:rsid w:val="00EA28C2"/>
    <w:rsid w:val="00ED4F6F"/>
    <w:rsid w:val="00F61A92"/>
    <w:rsid w:val="00FA1A02"/>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0A1A877-1F10-4B12-87F6-FCBFE975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F5"/>
  </w:style>
  <w:style w:type="paragraph" w:styleId="Heading1">
    <w:name w:val="heading 1"/>
    <w:basedOn w:val="Normal"/>
    <w:next w:val="Normal"/>
    <w:link w:val="Heading1Char"/>
    <w:qFormat/>
    <w:rsid w:val="00F61A92"/>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720"/>
      <w:jc w:val="center"/>
      <w:textAlignment w:val="baseline"/>
      <w:outlineLvl w:val="0"/>
    </w:pPr>
    <w:rPr>
      <w:rFonts w:eastAsia="Times New Roman" w:cs="Times New Roman"/>
      <w:b/>
      <w:sz w:val="26"/>
      <w:szCs w:val="20"/>
    </w:rPr>
  </w:style>
  <w:style w:type="paragraph" w:styleId="Heading3">
    <w:name w:val="heading 3"/>
    <w:basedOn w:val="Normal"/>
    <w:next w:val="Normal"/>
    <w:link w:val="Heading3Char"/>
    <w:qFormat/>
    <w:rsid w:val="004570D2"/>
    <w:pPr>
      <w:keepNext/>
      <w:numPr>
        <w:ilvl w:val="3"/>
        <w:numId w:val="5"/>
      </w:numPr>
      <w:tabs>
        <w:tab w:val="clear" w:pos="1800"/>
        <w:tab w:val="num" w:pos="720"/>
      </w:tabs>
      <w:overflowPunct w:val="0"/>
      <w:autoSpaceDE w:val="0"/>
      <w:autoSpaceDN w:val="0"/>
      <w:adjustRightInd w:val="0"/>
      <w:spacing w:after="0" w:line="240" w:lineRule="auto"/>
      <w:ind w:left="720" w:hanging="720"/>
      <w:textAlignment w:val="baseline"/>
      <w:outlineLvl w:val="2"/>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A92"/>
    <w:rPr>
      <w:rFonts w:eastAsia="Times New Roman" w:cs="Times New Roman"/>
      <w:b/>
      <w:sz w:val="26"/>
      <w:szCs w:val="20"/>
    </w:rPr>
  </w:style>
  <w:style w:type="paragraph" w:styleId="Title">
    <w:name w:val="Title"/>
    <w:basedOn w:val="Normal"/>
    <w:link w:val="TitleChar"/>
    <w:qFormat/>
    <w:rsid w:val="00F61A92"/>
    <w:pPr>
      <w:overflowPunct w:val="0"/>
      <w:autoSpaceDE w:val="0"/>
      <w:autoSpaceDN w:val="0"/>
      <w:adjustRightInd w:val="0"/>
      <w:spacing w:after="0" w:line="240" w:lineRule="auto"/>
      <w:ind w:left="-720"/>
      <w:jc w:val="center"/>
      <w:textAlignment w:val="baseline"/>
    </w:pPr>
    <w:rPr>
      <w:rFonts w:ascii="Impact" w:eastAsia="Times New Roman" w:hAnsi="Impact" w:cs="Times New Roman"/>
      <w:bCs/>
      <w:sz w:val="40"/>
      <w:szCs w:val="20"/>
    </w:rPr>
  </w:style>
  <w:style w:type="character" w:customStyle="1" w:styleId="TitleChar">
    <w:name w:val="Title Char"/>
    <w:basedOn w:val="DefaultParagraphFont"/>
    <w:link w:val="Title"/>
    <w:rsid w:val="00F61A92"/>
    <w:rPr>
      <w:rFonts w:ascii="Impact" w:eastAsia="Times New Roman" w:hAnsi="Impact" w:cs="Times New Roman"/>
      <w:bCs/>
      <w:sz w:val="40"/>
      <w:szCs w:val="20"/>
    </w:rPr>
  </w:style>
  <w:style w:type="paragraph" w:styleId="Subtitle">
    <w:name w:val="Subtitle"/>
    <w:basedOn w:val="Normal"/>
    <w:link w:val="SubtitleChar"/>
    <w:qFormat/>
    <w:rsid w:val="00F61A92"/>
    <w:pPr>
      <w:overflowPunct w:val="0"/>
      <w:autoSpaceDE w:val="0"/>
      <w:autoSpaceDN w:val="0"/>
      <w:adjustRightInd w:val="0"/>
      <w:spacing w:after="0" w:line="240" w:lineRule="auto"/>
      <w:ind w:left="-720"/>
      <w:jc w:val="center"/>
      <w:textAlignment w:val="baseline"/>
    </w:pPr>
    <w:rPr>
      <w:rFonts w:eastAsia="Times New Roman" w:cs="Times New Roman"/>
      <w:b/>
      <w:sz w:val="36"/>
      <w:szCs w:val="20"/>
    </w:rPr>
  </w:style>
  <w:style w:type="character" w:customStyle="1" w:styleId="SubtitleChar">
    <w:name w:val="Subtitle Char"/>
    <w:basedOn w:val="DefaultParagraphFont"/>
    <w:link w:val="Subtitle"/>
    <w:rsid w:val="00F61A92"/>
    <w:rPr>
      <w:rFonts w:eastAsia="Times New Roman" w:cs="Times New Roman"/>
      <w:b/>
      <w:sz w:val="36"/>
      <w:szCs w:val="20"/>
    </w:rPr>
  </w:style>
  <w:style w:type="numbering" w:customStyle="1" w:styleId="FinalWordPolicy">
    <w:name w:val="Final Word Policy"/>
    <w:uiPriority w:val="99"/>
    <w:rsid w:val="00F61A92"/>
    <w:pPr>
      <w:numPr>
        <w:numId w:val="1"/>
      </w:numPr>
    </w:pPr>
  </w:style>
  <w:style w:type="paragraph" w:styleId="ListParagraph">
    <w:name w:val="List Paragraph"/>
    <w:basedOn w:val="Normal"/>
    <w:uiPriority w:val="34"/>
    <w:qFormat/>
    <w:rsid w:val="00F61A92"/>
    <w:pPr>
      <w:ind w:left="720"/>
      <w:contextualSpacing/>
    </w:pPr>
  </w:style>
  <w:style w:type="paragraph" w:styleId="BodyTextIndent2">
    <w:name w:val="Body Text Indent 2"/>
    <w:basedOn w:val="Normal"/>
    <w:link w:val="BodyTextIndent2Char"/>
    <w:uiPriority w:val="99"/>
    <w:semiHidden/>
    <w:unhideWhenUsed/>
    <w:rsid w:val="004570D2"/>
    <w:pPr>
      <w:spacing w:after="120" w:line="480" w:lineRule="auto"/>
      <w:ind w:left="360"/>
    </w:pPr>
  </w:style>
  <w:style w:type="character" w:customStyle="1" w:styleId="BodyTextIndent2Char">
    <w:name w:val="Body Text Indent 2 Char"/>
    <w:basedOn w:val="DefaultParagraphFont"/>
    <w:link w:val="BodyTextIndent2"/>
    <w:uiPriority w:val="99"/>
    <w:semiHidden/>
    <w:rsid w:val="004570D2"/>
  </w:style>
  <w:style w:type="character" w:customStyle="1" w:styleId="Heading3Char">
    <w:name w:val="Heading 3 Char"/>
    <w:basedOn w:val="DefaultParagraphFont"/>
    <w:link w:val="Heading3"/>
    <w:rsid w:val="004570D2"/>
    <w:rPr>
      <w:rFonts w:eastAsia="Times New Roman" w:cs="Times New Roman"/>
      <w:szCs w:val="20"/>
    </w:rPr>
  </w:style>
  <w:style w:type="paragraph" w:styleId="Header">
    <w:name w:val="header"/>
    <w:basedOn w:val="Normal"/>
    <w:link w:val="HeaderChar"/>
    <w:uiPriority w:val="99"/>
    <w:semiHidden/>
    <w:unhideWhenUsed/>
    <w:rsid w:val="002354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4AC"/>
  </w:style>
  <w:style w:type="paragraph" w:styleId="Footer">
    <w:name w:val="footer"/>
    <w:basedOn w:val="Normal"/>
    <w:link w:val="FooterChar"/>
    <w:uiPriority w:val="99"/>
    <w:unhideWhenUsed/>
    <w:rsid w:val="0023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4AC"/>
  </w:style>
  <w:style w:type="paragraph" w:styleId="BalloonText">
    <w:name w:val="Balloon Text"/>
    <w:basedOn w:val="Normal"/>
    <w:link w:val="BalloonTextChar"/>
    <w:uiPriority w:val="99"/>
    <w:semiHidden/>
    <w:unhideWhenUsed/>
    <w:rsid w:val="0021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2C"/>
    <w:rPr>
      <w:rFonts w:ascii="Tahoma" w:hAnsi="Tahoma" w:cs="Tahoma"/>
      <w:sz w:val="16"/>
      <w:szCs w:val="16"/>
    </w:rPr>
  </w:style>
  <w:style w:type="paragraph" w:styleId="EndnoteText">
    <w:name w:val="endnote text"/>
    <w:basedOn w:val="Normal"/>
    <w:link w:val="EndnoteTextChar"/>
    <w:uiPriority w:val="99"/>
    <w:semiHidden/>
    <w:rsid w:val="00781367"/>
    <w:pPr>
      <w:spacing w:after="0" w:line="240" w:lineRule="auto"/>
    </w:pPr>
    <w:rPr>
      <w:rFonts w:eastAsia="Times New Roman" w:cs="Times New Roman"/>
      <w:iCs/>
      <w:color w:val="231F20"/>
      <w:sz w:val="20"/>
      <w:szCs w:val="20"/>
    </w:rPr>
  </w:style>
  <w:style w:type="character" w:customStyle="1" w:styleId="EndnoteTextChar">
    <w:name w:val="Endnote Text Char"/>
    <w:basedOn w:val="DefaultParagraphFont"/>
    <w:link w:val="EndnoteText"/>
    <w:uiPriority w:val="99"/>
    <w:semiHidden/>
    <w:rsid w:val="00781367"/>
    <w:rPr>
      <w:rFonts w:eastAsia="Times New Roman" w:cs="Times New Roman"/>
      <w:iCs/>
      <w:color w:val="231F20"/>
      <w:sz w:val="20"/>
      <w:szCs w:val="20"/>
    </w:rPr>
  </w:style>
  <w:style w:type="character" w:styleId="EndnoteReference">
    <w:name w:val="endnote reference"/>
    <w:basedOn w:val="DefaultParagraphFont"/>
    <w:uiPriority w:val="99"/>
    <w:semiHidden/>
    <w:rsid w:val="00781367"/>
    <w:rPr>
      <w:rFonts w:cs="Times New Roman"/>
      <w:vertAlign w:val="superscript"/>
    </w:rPr>
  </w:style>
  <w:style w:type="paragraph" w:styleId="FootnoteText">
    <w:name w:val="footnote text"/>
    <w:basedOn w:val="Normal"/>
    <w:link w:val="FootnoteTextChar"/>
    <w:uiPriority w:val="99"/>
    <w:semiHidden/>
    <w:unhideWhenUsed/>
    <w:rsid w:val="00781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367"/>
    <w:rPr>
      <w:sz w:val="20"/>
      <w:szCs w:val="20"/>
    </w:rPr>
  </w:style>
  <w:style w:type="character" w:styleId="FootnoteReference">
    <w:name w:val="footnote reference"/>
    <w:basedOn w:val="DefaultParagraphFont"/>
    <w:uiPriority w:val="99"/>
    <w:semiHidden/>
    <w:unhideWhenUsed/>
    <w:rsid w:val="00781367"/>
    <w:rPr>
      <w:vertAlign w:val="superscript"/>
    </w:rPr>
  </w:style>
  <w:style w:type="paragraph" w:styleId="CommentText">
    <w:name w:val="annotation text"/>
    <w:basedOn w:val="Normal"/>
    <w:link w:val="CommentTextChar"/>
    <w:uiPriority w:val="99"/>
    <w:semiHidden/>
    <w:unhideWhenUsed/>
    <w:rsid w:val="00297E15"/>
    <w:pPr>
      <w:spacing w:line="240" w:lineRule="auto"/>
    </w:pPr>
    <w:rPr>
      <w:sz w:val="20"/>
      <w:szCs w:val="20"/>
    </w:rPr>
  </w:style>
  <w:style w:type="character" w:customStyle="1" w:styleId="CommentTextChar">
    <w:name w:val="Comment Text Char"/>
    <w:basedOn w:val="DefaultParagraphFont"/>
    <w:link w:val="CommentText"/>
    <w:uiPriority w:val="99"/>
    <w:semiHidden/>
    <w:rsid w:val="00297E15"/>
    <w:rPr>
      <w:sz w:val="20"/>
      <w:szCs w:val="20"/>
    </w:rPr>
  </w:style>
  <w:style w:type="paragraph" w:styleId="CommentSubject">
    <w:name w:val="annotation subject"/>
    <w:basedOn w:val="CommentText"/>
    <w:next w:val="CommentText"/>
    <w:link w:val="CommentSubjectChar"/>
    <w:semiHidden/>
    <w:rsid w:val="00297E15"/>
    <w:pPr>
      <w:spacing w:after="0"/>
    </w:pPr>
    <w:rPr>
      <w:rFonts w:eastAsia="Times New Roman" w:cs="Times New Roman"/>
      <w:b/>
      <w:bCs/>
      <w:iCs/>
      <w:color w:val="231F20"/>
    </w:rPr>
  </w:style>
  <w:style w:type="character" w:customStyle="1" w:styleId="CommentSubjectChar">
    <w:name w:val="Comment Subject Char"/>
    <w:basedOn w:val="CommentTextChar"/>
    <w:link w:val="CommentSubject"/>
    <w:semiHidden/>
    <w:rsid w:val="00297E15"/>
    <w:rPr>
      <w:rFonts w:eastAsia="Times New Roman" w:cs="Times New Roman"/>
      <w:b/>
      <w:bCs/>
      <w:iCs/>
      <w:color w:val="231F20"/>
      <w:sz w:val="20"/>
      <w:szCs w:val="20"/>
    </w:rPr>
  </w:style>
  <w:style w:type="numbering" w:customStyle="1" w:styleId="MPPaper">
    <w:name w:val="MP Paper"/>
    <w:rsid w:val="00297E1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Center\Final%20Word%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4A98-71B0-4244-BCC7-B561360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Word Policy</Template>
  <TotalTime>18</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Dziejma</dc:creator>
  <cp:keywords/>
  <dc:description/>
  <cp:lastModifiedBy>Sara Dziejma</cp:lastModifiedBy>
  <cp:revision>8</cp:revision>
  <cp:lastPrinted>2011-07-26T15:00:00Z</cp:lastPrinted>
  <dcterms:created xsi:type="dcterms:W3CDTF">2011-07-26T15:06:00Z</dcterms:created>
  <dcterms:modified xsi:type="dcterms:W3CDTF">2014-11-12T13:13:00Z</dcterms:modified>
</cp:coreProperties>
</file>